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00" w:lineRule="auto"/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76201</wp:posOffset>
                </wp:positionH>
                <wp:positionV relativeFrom="paragraph">
                  <wp:posOffset>0</wp:posOffset>
                </wp:positionV>
                <wp:extent cx="6351803" cy="112875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74861" y="3220387"/>
                          <a:ext cx="6342278" cy="111922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FC3FF"/>
                            </a:gs>
                            <a:gs pos="35000">
                              <a:srgbClr val="BDD5FF"/>
                            </a:gs>
                            <a:gs pos="100000">
                              <a:srgbClr val="E4EEFF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1"/>
                                <w:i w:val="0"/>
                                <w:smallCaps w:val="0"/>
                                <w:strike w:val="0"/>
                                <w:color w:val="9bbb59"/>
                                <w:sz w:val="36"/>
                                <w:vertAlign w:val="baseline"/>
                              </w:rPr>
                              <w:t xml:space="preserve">鞏固網路安全，確保企業永續經營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1"/>
                                <w:i w:val="0"/>
                                <w:smallCaps w:val="0"/>
                                <w:strike w:val="0"/>
                                <w:color w:val="9bbb59"/>
                                <w:sz w:val="9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標楷體" w:cs="標楷體" w:eastAsia="標楷體" w:hAnsi="標楷體"/>
                                <w:b w:val="1"/>
                                <w:i w:val="0"/>
                                <w:smallCaps w:val="0"/>
                                <w:strike w:val="0"/>
                                <w:color w:val="9bbb59"/>
                                <w:sz w:val="72"/>
                                <w:vertAlign w:val="baseline"/>
                              </w:rPr>
                              <w:t xml:space="preserve">物聯網資安研討會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76201</wp:posOffset>
                </wp:positionH>
                <wp:positionV relativeFrom="paragraph">
                  <wp:posOffset>0</wp:posOffset>
                </wp:positionV>
                <wp:extent cx="6351803" cy="1128751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1803" cy="11287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440" w:lineRule="auto"/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40" w:lineRule="auto"/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40" w:lineRule="auto"/>
        <w:contextualSpacing w:val="0"/>
        <w:jc w:val="both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both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40" w:lineRule="auto"/>
        <w:contextualSpacing w:val="0"/>
        <w:jc w:val="both"/>
        <w:rPr>
          <w:rFonts w:ascii="微軟正黑體" w:cs="微軟正黑體" w:eastAsia="微軟正黑體" w:hAnsi="微軟正黑體"/>
          <w:color w:val="ff0000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sz w:val="28"/>
          <w:szCs w:val="28"/>
          <w:rtl w:val="0"/>
        </w:rPr>
        <w:t xml:space="preserve">隨著數位化浪潮的推波助瀾，企業環境面臨很大的改變，但資訊安全的風險卻有增無減。在物聯網的環境下，萬物連網為企業營運帶來便利性與智慧，但也同時引發了新的資安威脅，為協助廠商業者能夠瞭解物聯網資安對企業的重要性，本次活動邀請業界專家就資安對企業的影響進行專題演講，希望協助臺灣廠商在未來面對物聯網資安威脅時能有所助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40" w:lineRule="auto"/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00" w:lineRule="auto"/>
        <w:contextualSpacing w:val="0"/>
        <w:jc w:val="both"/>
        <w:rPr>
          <w:rFonts w:ascii="微軟正黑體" w:cs="微軟正黑體" w:eastAsia="微軟正黑體" w:hAnsi="微軟正黑體"/>
          <w:b w:val="1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b w:val="1"/>
          <w:sz w:val="28"/>
          <w:szCs w:val="28"/>
          <w:rtl w:val="0"/>
        </w:rPr>
        <w:t xml:space="preserve">日期：107年6月14日（星期四）</w:t>
      </w:r>
    </w:p>
    <w:p w:rsidR="00000000" w:rsidDel="00000000" w:rsidP="00000000" w:rsidRDefault="00000000" w:rsidRPr="00000000" w14:paraId="00000009">
      <w:pPr>
        <w:spacing w:line="400" w:lineRule="auto"/>
        <w:contextualSpacing w:val="0"/>
        <w:jc w:val="both"/>
        <w:rPr>
          <w:rFonts w:ascii="微軟正黑體" w:cs="微軟正黑體" w:eastAsia="微軟正黑體" w:hAnsi="微軟正黑體"/>
          <w:b w:val="1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b w:val="1"/>
          <w:sz w:val="28"/>
          <w:szCs w:val="28"/>
          <w:rtl w:val="0"/>
        </w:rPr>
        <w:t xml:space="preserve">時間：下午13:30開始報到</w:t>
      </w:r>
    </w:p>
    <w:p w:rsidR="00000000" w:rsidDel="00000000" w:rsidP="00000000" w:rsidRDefault="00000000" w:rsidRPr="00000000" w14:paraId="0000000A">
      <w:pPr>
        <w:spacing w:line="400" w:lineRule="auto"/>
        <w:contextualSpacing w:val="0"/>
        <w:jc w:val="both"/>
        <w:rPr>
          <w:rFonts w:ascii="微軟正黑體" w:cs="微軟正黑體" w:eastAsia="微軟正黑體" w:hAnsi="微軟正黑體"/>
          <w:b w:val="1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b w:val="1"/>
          <w:sz w:val="28"/>
          <w:szCs w:val="28"/>
          <w:rtl w:val="0"/>
        </w:rPr>
        <w:t xml:space="preserve">地點：台灣雲端物聯網產業協會（台北市中正區重慶南路二段51號8樓）</w:t>
      </w:r>
    </w:p>
    <w:p w:rsidR="00000000" w:rsidDel="00000000" w:rsidP="00000000" w:rsidRDefault="00000000" w:rsidRPr="00000000" w14:paraId="0000000B">
      <w:pPr>
        <w:spacing w:line="400" w:lineRule="auto"/>
        <w:contextualSpacing w:val="0"/>
        <w:jc w:val="both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b w:val="1"/>
          <w:sz w:val="28"/>
          <w:szCs w:val="28"/>
          <w:rtl w:val="0"/>
        </w:rPr>
        <w:t xml:space="preserve">費用：免費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00" w:lineRule="auto"/>
        <w:contextualSpacing w:val="0"/>
        <w:jc w:val="both"/>
        <w:rPr>
          <w:rFonts w:ascii="微軟正黑體" w:cs="微軟正黑體" w:eastAsia="微軟正黑體" w:hAnsi="微軟正黑體"/>
          <w:b w:val="1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b w:val="1"/>
          <w:sz w:val="28"/>
          <w:szCs w:val="28"/>
          <w:rtl w:val="0"/>
        </w:rPr>
        <w:t xml:space="preserve">議程：（暫訂）</w:t>
      </w:r>
    </w:p>
    <w:tbl>
      <w:tblPr>
        <w:tblStyle w:val="Table1"/>
        <w:tblW w:w="1021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0"/>
        <w:gridCol w:w="4246"/>
        <w:gridCol w:w="4115"/>
        <w:tblGridChange w:id="0">
          <w:tblGrid>
            <w:gridCol w:w="1850"/>
            <w:gridCol w:w="4246"/>
            <w:gridCol w:w="4115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2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sz w:val="28"/>
                <w:szCs w:val="28"/>
                <w:rtl w:val="0"/>
              </w:rPr>
              <w:t xml:space="preserve">時間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2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sz w:val="28"/>
                <w:szCs w:val="28"/>
                <w:rtl w:val="0"/>
              </w:rPr>
              <w:t xml:space="preserve">講題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2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1"/>
                <w:sz w:val="28"/>
                <w:szCs w:val="28"/>
                <w:rtl w:val="0"/>
              </w:rPr>
              <w:t xml:space="preserve">主講人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20" w:lineRule="auto"/>
              <w:contextualSpacing w:val="0"/>
              <w:jc w:val="both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13:30~14:00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spacing w:line="32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報到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20" w:lineRule="auto"/>
              <w:contextualSpacing w:val="0"/>
              <w:jc w:val="both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14:00~14:20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400" w:lineRule="auto"/>
              <w:contextualSpacing w:val="0"/>
              <w:rPr>
                <w:rFonts w:ascii="微軟正黑體" w:cs="微軟正黑體" w:eastAsia="微軟正黑體" w:hAnsi="微軟正黑體"/>
                <w:sz w:val="26"/>
                <w:szCs w:val="26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6"/>
                <w:szCs w:val="26"/>
                <w:rtl w:val="0"/>
              </w:rPr>
              <w:t xml:space="preserve">經濟部工業局 </w:t>
            </w:r>
          </w:p>
          <w:p w:rsidR="00000000" w:rsidDel="00000000" w:rsidP="00000000" w:rsidRDefault="00000000" w:rsidRPr="00000000" w14:paraId="00000015">
            <w:pPr>
              <w:spacing w:line="400" w:lineRule="auto"/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6"/>
                <w:szCs w:val="26"/>
                <w:rtl w:val="0"/>
              </w:rPr>
              <w:t xml:space="preserve">GDPR快易通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400" w:lineRule="auto"/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資策會 科法所</w:t>
            </w:r>
          </w:p>
          <w:p w:rsidR="00000000" w:rsidDel="00000000" w:rsidP="00000000" w:rsidRDefault="00000000" w:rsidRPr="00000000" w14:paraId="00000017">
            <w:pPr>
              <w:spacing w:line="400" w:lineRule="auto"/>
              <w:contextualSpacing w:val="0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廖淑君組長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20" w:lineRule="auto"/>
              <w:contextualSpacing w:val="0"/>
              <w:jc w:val="both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14:20~15:00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運用去識別化技術促進資料分析與共享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420" w:right="0" w:hanging="420"/>
              <w:contextualSpacing w:val="0"/>
              <w:jc w:val="left"/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中研院 資創中心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420" w:right="0" w:hanging="420"/>
              <w:contextualSpacing w:val="0"/>
              <w:jc w:val="left"/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李思壯 博士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20" w:lineRule="auto"/>
              <w:contextualSpacing w:val="0"/>
              <w:jc w:val="both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15:00~15:40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工業控制系統網路之資安威脅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資策會資安所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林志達 博士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320" w:lineRule="auto"/>
              <w:contextualSpacing w:val="0"/>
              <w:jc w:val="both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15:40~15:50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spacing w:line="40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休息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320" w:lineRule="auto"/>
              <w:contextualSpacing w:val="0"/>
              <w:jc w:val="both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15:50~16:30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contextualSpacing w:val="0"/>
              <w:jc w:val="both"/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物聯網資安的迷思與規劃建議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趨勢科技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許育誠 協理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320" w:lineRule="auto"/>
              <w:contextualSpacing w:val="0"/>
              <w:jc w:val="both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16:30~17:10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contextualSpacing w:val="0"/>
              <w:jc w:val="both"/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萬物互聯入雲端，資安安全挑戰面面觀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鼎智國際技術服務集團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contextualSpacing w:val="0"/>
              <w:jc w:val="left"/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蔡坤家 資深講師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320" w:lineRule="auto"/>
              <w:contextualSpacing w:val="0"/>
              <w:jc w:val="both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17:10～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spacing w:line="400" w:lineRule="auto"/>
              <w:contextualSpacing w:val="0"/>
              <w:jc w:val="center"/>
              <w:rPr>
                <w:rFonts w:ascii="微軟正黑體" w:cs="微軟正黑體" w:eastAsia="微軟正黑體" w:hAnsi="微軟正黑體"/>
                <w:sz w:val="28"/>
                <w:szCs w:val="28"/>
              </w:rPr>
            </w:pPr>
            <w:r w:rsidDel="00000000" w:rsidR="00000000" w:rsidRPr="00000000">
              <w:rPr>
                <w:rFonts w:ascii="微軟正黑體" w:cs="微軟正黑體" w:eastAsia="微軟正黑體" w:hAnsi="微軟正黑體"/>
                <w:sz w:val="28"/>
                <w:szCs w:val="28"/>
                <w:rtl w:val="0"/>
              </w:rPr>
              <w:t xml:space="preserve">散會</w:t>
            </w:r>
          </w:p>
        </w:tc>
      </w:tr>
    </w:tbl>
    <w:p w:rsidR="00000000" w:rsidDel="00000000" w:rsidP="00000000" w:rsidRDefault="00000000" w:rsidRPr="00000000" w14:paraId="0000002E">
      <w:pPr>
        <w:spacing w:line="320" w:lineRule="auto"/>
        <w:contextualSpacing w:val="0"/>
        <w:rPr>
          <w:rFonts w:ascii="微軟正黑體" w:cs="微軟正黑體" w:eastAsia="微軟正黑體" w:hAnsi="微軟正黑體"/>
        </w:rPr>
      </w:pPr>
      <w:r w:rsidDel="00000000" w:rsidR="00000000" w:rsidRPr="00000000">
        <w:rPr>
          <w:rFonts w:ascii="微軟正黑體" w:cs="微軟正黑體" w:eastAsia="微軟正黑體" w:hAnsi="微軟正黑體"/>
          <w:rtl w:val="0"/>
        </w:rPr>
        <w:t xml:space="preserve">主辦單位：台灣區電機電子工業同業公會、台灣雲端物聯網產業協會</w:t>
      </w:r>
    </w:p>
    <w:p w:rsidR="00000000" w:rsidDel="00000000" w:rsidP="00000000" w:rsidRDefault="00000000" w:rsidRPr="00000000" w14:paraId="0000002F">
      <w:pPr>
        <w:spacing w:line="320" w:lineRule="auto"/>
        <w:contextualSpacing w:val="0"/>
        <w:rPr>
          <w:rFonts w:ascii="微軟正黑體" w:cs="微軟正黑體" w:eastAsia="微軟正黑體" w:hAnsi="微軟正黑體"/>
        </w:rPr>
      </w:pPr>
      <w:r w:rsidDel="00000000" w:rsidR="00000000" w:rsidRPr="00000000">
        <w:rPr>
          <w:rFonts w:ascii="微軟正黑體" w:cs="微軟正黑體" w:eastAsia="微軟正黑體" w:hAnsi="微軟正黑體"/>
          <w:rtl w:val="0"/>
        </w:rPr>
        <w:t xml:space="preserve">報名網址：</w:t>
      </w:r>
      <w:hyperlink r:id="rId7">
        <w:r w:rsidDel="00000000" w:rsidR="00000000" w:rsidRPr="00000000">
          <w:rPr>
            <w:rFonts w:ascii="微軟正黑體" w:cs="微軟正黑體" w:eastAsia="微軟正黑體" w:hAnsi="微軟正黑體"/>
            <w:color w:val="0000ff"/>
            <w:u w:val="single"/>
            <w:rtl w:val="0"/>
          </w:rPr>
          <w:t xml:space="preserve">http://www.teema.org.tw/education.aspx?infoid=24065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20" w:lineRule="auto"/>
        <w:contextualSpacing w:val="0"/>
        <w:rPr>
          <w:rFonts w:ascii="微軟正黑體" w:cs="微軟正黑體" w:eastAsia="微軟正黑體" w:hAnsi="微軟正黑體"/>
          <w:sz w:val="28"/>
          <w:szCs w:val="28"/>
        </w:rPr>
      </w:pPr>
      <w:r w:rsidDel="00000000" w:rsidR="00000000" w:rsidRPr="00000000">
        <w:rPr>
          <w:rFonts w:ascii="微軟正黑體" w:cs="微軟正黑體" w:eastAsia="微軟正黑體" w:hAnsi="微軟正黑體"/>
          <w:rtl w:val="0"/>
        </w:rPr>
        <w:t xml:space="preserve">★如有任何疑問請電洽(02)8792-6666分機238 ，承辦人：李政宏 E-mail:kristof@teema.org.tw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851" w:top="851" w:left="851" w:right="851" w:header="73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微軟正黑體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933700" cy="493758"/>
          <wp:effectExtent b="0" l="0" r="0" t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33700" cy="493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3188335" cy="542290"/>
          <wp:effectExtent b="0" l="0" r="0" t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8335" cy="542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://www.teema.org.tw/education.aspx?infoid=24065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